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eastAsia="黑体"/>
          <w:sz w:val="36"/>
        </w:rPr>
      </w:pPr>
    </w:p>
    <w:p>
      <w:pPr>
        <w:spacing w:line="360" w:lineRule="auto"/>
        <w:jc w:val="center"/>
        <w:rPr>
          <w:rFonts w:eastAsia="黑体"/>
          <w:sz w:val="36"/>
        </w:rPr>
      </w:pPr>
    </w:p>
    <w:p>
      <w:pPr>
        <w:spacing w:afterLines="50" w:line="360" w:lineRule="auto"/>
        <w:jc w:val="center"/>
        <w:rPr>
          <w:rFonts w:eastAsia="黑体"/>
          <w:sz w:val="18"/>
        </w:rPr>
      </w:pPr>
    </w:p>
    <w:p>
      <w:pPr>
        <w:spacing w:after="312" w:afterLines="100"/>
        <w:jc w:val="center"/>
        <w:rPr>
          <w:rFonts w:ascii="仿宋_GB2312" w:hAnsi="宋体" w:eastAsia="仿宋_GB2312"/>
          <w:sz w:val="32"/>
          <w:szCs w:val="32"/>
        </w:rPr>
      </w:pPr>
      <w:r>
        <w:rPr>
          <w:rFonts w:hint="eastAsia" w:ascii="仿宋_GB2312" w:hAnsi="宋体" w:eastAsia="仿宋_GB2312"/>
          <w:sz w:val="32"/>
          <w:szCs w:val="32"/>
        </w:rPr>
        <w:t>莆二中〔20</w:t>
      </w:r>
      <w:r>
        <w:rPr>
          <w:rFonts w:hint="eastAsia" w:ascii="仿宋_GB2312" w:hAnsi="宋体" w:eastAsia="仿宋_GB2312"/>
          <w:sz w:val="32"/>
          <w:szCs w:val="32"/>
          <w:lang w:val="en-US" w:eastAsia="zh-CN"/>
        </w:rPr>
        <w:t>21</w:t>
      </w:r>
      <w:r>
        <w:rPr>
          <w:rFonts w:hint="eastAsia" w:ascii="仿宋_GB2312" w:hAnsi="宋体" w:eastAsia="仿宋_GB2312"/>
          <w:sz w:val="32"/>
          <w:szCs w:val="32"/>
        </w:rPr>
        <w:t>〕</w:t>
      </w:r>
      <w:r>
        <w:rPr>
          <w:rFonts w:hint="eastAsia" w:ascii="仿宋_GB2312" w:hAnsi="宋体" w:eastAsia="仿宋_GB2312"/>
          <w:sz w:val="32"/>
          <w:szCs w:val="32"/>
          <w:lang w:val="en-US" w:eastAsia="zh-CN"/>
        </w:rPr>
        <w:t xml:space="preserve"> 8</w:t>
      </w:r>
      <w:r>
        <w:rPr>
          <w:rFonts w:hint="eastAsia" w:ascii="仿宋_GB2312" w:hAnsi="宋体" w:eastAsia="仿宋_GB2312"/>
          <w:sz w:val="32"/>
          <w:szCs w:val="32"/>
        </w:rPr>
        <w:t xml:space="preserve">号             </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b w:val="0"/>
          <w:bCs/>
          <w:color w:val="000000"/>
          <w:sz w:val="44"/>
          <w:szCs w:val="44"/>
          <w:lang w:val="en-US" w:eastAsia="zh-CN"/>
        </w:rPr>
      </w:pPr>
      <w:r>
        <w:rPr>
          <w:rFonts w:hint="eastAsia" w:ascii="方正小标宋_GBK" w:hAnsi="方正小标宋_GBK" w:eastAsia="方正小标宋_GBK" w:cs="方正小标宋_GBK"/>
          <w:bCs/>
          <w:color w:val="000000"/>
          <w:sz w:val="44"/>
          <w:szCs w:val="44"/>
          <w:lang w:val="en-US" w:eastAsia="zh-CN"/>
        </w:rPr>
        <w:t>关</w:t>
      </w:r>
      <w:r>
        <w:rPr>
          <w:rFonts w:hint="eastAsia" w:ascii="方正小标宋_GBK" w:hAnsi="方正小标宋_GBK" w:eastAsia="方正小标宋_GBK" w:cs="方正小标宋_GBK"/>
          <w:b w:val="0"/>
          <w:bCs/>
          <w:color w:val="000000"/>
          <w:sz w:val="44"/>
          <w:szCs w:val="44"/>
          <w:lang w:val="en-US" w:eastAsia="zh-CN"/>
        </w:rPr>
        <w:t>于进一步规范校内公共领域宣传载体</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bCs/>
          <w:color w:val="000000"/>
          <w:sz w:val="44"/>
          <w:szCs w:val="44"/>
          <w:lang w:val="en-US" w:eastAsia="zh-CN"/>
        </w:rPr>
      </w:pPr>
      <w:r>
        <w:rPr>
          <w:rFonts w:hint="eastAsia" w:ascii="方正小标宋_GBK" w:hAnsi="方正小标宋_GBK" w:eastAsia="方正小标宋_GBK" w:cs="方正小标宋_GBK"/>
          <w:b w:val="0"/>
          <w:bCs/>
          <w:color w:val="000000"/>
          <w:sz w:val="44"/>
          <w:szCs w:val="44"/>
          <w:lang w:val="en-US" w:eastAsia="zh-CN"/>
        </w:rPr>
        <w:t>管理的</w:t>
      </w:r>
      <w:r>
        <w:rPr>
          <w:rFonts w:hint="eastAsia" w:ascii="方正小标宋_GBK" w:hAnsi="方正小标宋_GBK" w:eastAsia="方正小标宋_GBK" w:cs="方正小标宋_GBK"/>
          <w:bCs/>
          <w:color w:val="000000"/>
          <w:sz w:val="44"/>
          <w:szCs w:val="44"/>
          <w:lang w:val="en-US" w:eastAsia="zh-CN"/>
        </w:rPr>
        <w:t>通知</w:t>
      </w:r>
    </w:p>
    <w:p>
      <w:pPr>
        <w:rPr>
          <w:rFonts w:hint="eastAsia" w:ascii="仿宋" w:hAnsi="仿宋" w:eastAsia="仿宋" w:cs="仿宋"/>
          <w:sz w:val="32"/>
          <w:szCs w:val="32"/>
        </w:rPr>
      </w:pPr>
      <w:r>
        <w:rPr>
          <w:rFonts w:hint="eastAsia" w:ascii="仿宋" w:hAnsi="仿宋" w:eastAsia="仿宋" w:cs="仿宋"/>
          <w:sz w:val="32"/>
          <w:szCs w:val="32"/>
        </w:rPr>
        <w:t>各</w:t>
      </w:r>
      <w:r>
        <w:rPr>
          <w:rFonts w:hint="eastAsia" w:ascii="仿宋" w:hAnsi="仿宋" w:eastAsia="仿宋" w:cs="仿宋"/>
          <w:sz w:val="32"/>
          <w:szCs w:val="32"/>
          <w:lang w:val="en-US" w:eastAsia="zh-CN"/>
        </w:rPr>
        <w:t>处室、各教研组、各年段</w:t>
      </w:r>
      <w:r>
        <w:rPr>
          <w:rFonts w:hint="eastAsia" w:ascii="仿宋" w:hAnsi="仿宋" w:eastAsia="仿宋" w:cs="仿宋"/>
          <w:sz w:val="32"/>
          <w:szCs w:val="32"/>
        </w:rPr>
        <w:t>：</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按照巡察反馈意见，</w:t>
      </w:r>
      <w:r>
        <w:rPr>
          <w:rFonts w:hint="eastAsia" w:ascii="仿宋" w:hAnsi="仿宋" w:eastAsia="仿宋" w:cs="仿宋"/>
          <w:sz w:val="32"/>
          <w:szCs w:val="32"/>
        </w:rPr>
        <w:t>为了进一步规范校内公共领域宣传载体的管理，守好主阵地、唱好主旋律、传播正能量，推进校园文化健康有序发展，营造良好育人环境，对学校的宣传栏、标语、校务公开栏、电子显示屏、展板、校园网、微信公众号等领域管理</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现将有关事项通知如下：</w:t>
      </w:r>
    </w:p>
    <w:p>
      <w:pPr>
        <w:rPr>
          <w:rFonts w:hint="eastAsia" w:ascii="黑体" w:hAnsi="黑体" w:eastAsia="黑体" w:cs="黑体"/>
          <w:sz w:val="32"/>
          <w:szCs w:val="32"/>
        </w:rPr>
      </w:pPr>
      <w:r>
        <w:rPr>
          <w:rFonts w:hint="eastAsia" w:ascii="黑体" w:hAnsi="黑体" w:eastAsia="黑体" w:cs="黑体"/>
          <w:sz w:val="32"/>
          <w:szCs w:val="32"/>
          <w:lang w:eastAsia="zh-CN"/>
        </w:rPr>
        <w:t>一、宣传栏管理</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（一）宣传栏的宣传内容必须确保思想健康，格调高雅，用字规范，符合国家的法律、法规和学校管理规定。版面设计要做到图片清晰，文字工整，美观大方。</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（二）根</w:t>
      </w:r>
      <w:r>
        <w:rPr>
          <w:rFonts w:hint="eastAsia" w:ascii="仿宋" w:hAnsi="仿宋" w:eastAsia="仿宋" w:cs="仿宋"/>
          <w:sz w:val="32"/>
          <w:szCs w:val="32"/>
          <w:lang w:val="en-US" w:eastAsia="zh-CN"/>
        </w:rPr>
        <w:t>据“</w:t>
      </w:r>
      <w:r>
        <w:rPr>
          <w:rFonts w:hint="eastAsia" w:ascii="仿宋" w:hAnsi="仿宋" w:eastAsia="仿宋" w:cs="仿宋"/>
          <w:sz w:val="32"/>
          <w:szCs w:val="32"/>
          <w:lang w:eastAsia="zh-CN"/>
        </w:rPr>
        <w:t>谁主办，谁负责”的原则，各宣传栏管理</w:t>
      </w:r>
      <w:r>
        <w:rPr>
          <w:rFonts w:hint="eastAsia" w:ascii="仿宋" w:hAnsi="仿宋" w:eastAsia="仿宋" w:cs="仿宋"/>
          <w:sz w:val="32"/>
          <w:szCs w:val="32"/>
          <w:lang w:val="en-US" w:eastAsia="zh-CN"/>
        </w:rPr>
        <w:t>处室或年段</w:t>
      </w:r>
      <w:r>
        <w:rPr>
          <w:rFonts w:hint="eastAsia" w:ascii="仿宋" w:hAnsi="仿宋" w:eastAsia="仿宋" w:cs="仿宋"/>
          <w:sz w:val="32"/>
          <w:szCs w:val="32"/>
          <w:lang w:eastAsia="zh-CN"/>
        </w:rPr>
        <w:t>要明确宣传栏的责任人和分管领导，责任人要对宣传内容进行把关，并且在宣传栏的醒目位置标明</w:t>
      </w:r>
      <w:r>
        <w:rPr>
          <w:rFonts w:hint="eastAsia" w:ascii="仿宋" w:hAnsi="仿宋" w:eastAsia="仿宋" w:cs="仿宋"/>
          <w:sz w:val="32"/>
          <w:szCs w:val="32"/>
          <w:lang w:val="en-US" w:eastAsia="zh-CN"/>
        </w:rPr>
        <w:t>处室或年段</w:t>
      </w:r>
      <w:r>
        <w:rPr>
          <w:rFonts w:hint="eastAsia" w:ascii="仿宋" w:hAnsi="仿宋" w:eastAsia="仿宋" w:cs="仿宋"/>
          <w:sz w:val="32"/>
          <w:szCs w:val="32"/>
          <w:lang w:eastAsia="zh-CN"/>
        </w:rPr>
        <w:t>名称。</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（三）各</w:t>
      </w:r>
      <w:r>
        <w:rPr>
          <w:rFonts w:hint="eastAsia" w:ascii="仿宋" w:hAnsi="仿宋" w:eastAsia="仿宋" w:cs="仿宋"/>
          <w:sz w:val="32"/>
          <w:szCs w:val="32"/>
          <w:lang w:val="en-US" w:eastAsia="zh-CN"/>
        </w:rPr>
        <w:t>处室或年段</w:t>
      </w:r>
      <w:r>
        <w:rPr>
          <w:rFonts w:hint="eastAsia" w:ascii="仿宋" w:hAnsi="仿宋" w:eastAsia="仿宋" w:cs="仿宋"/>
          <w:sz w:val="32"/>
          <w:szCs w:val="32"/>
          <w:lang w:eastAsia="zh-CN"/>
        </w:rPr>
        <w:t>要根据自身的工作需要，安排好宣传栏每期宣传的时间、主题和内容。各</w:t>
      </w:r>
      <w:r>
        <w:rPr>
          <w:rFonts w:hint="eastAsia" w:ascii="仿宋" w:hAnsi="仿宋" w:eastAsia="仿宋" w:cs="仿宋"/>
          <w:sz w:val="32"/>
          <w:szCs w:val="32"/>
          <w:lang w:val="en-US" w:eastAsia="zh-CN"/>
        </w:rPr>
        <w:t>处室</w:t>
      </w:r>
      <w:r>
        <w:rPr>
          <w:rFonts w:hint="eastAsia" w:ascii="仿宋" w:hAnsi="仿宋" w:eastAsia="仿宋" w:cs="仿宋"/>
          <w:sz w:val="32"/>
          <w:szCs w:val="32"/>
          <w:lang w:eastAsia="zh-CN"/>
        </w:rPr>
        <w:t>宣传栏内容至少做到每年一更新，有时效要求的要依据时效及时更新，</w:t>
      </w:r>
      <w:r>
        <w:rPr>
          <w:rFonts w:hint="eastAsia" w:ascii="仿宋" w:hAnsi="仿宋" w:eastAsia="仿宋" w:cs="仿宋"/>
          <w:sz w:val="32"/>
          <w:szCs w:val="32"/>
          <w:lang w:val="en-US" w:eastAsia="zh-CN"/>
        </w:rPr>
        <w:t>并做好相关审批程序</w:t>
      </w:r>
      <w:r>
        <w:rPr>
          <w:rFonts w:hint="eastAsia" w:ascii="仿宋" w:hAnsi="仿宋" w:eastAsia="仿宋" w:cs="仿宋"/>
          <w:sz w:val="32"/>
          <w:szCs w:val="32"/>
          <w:lang w:eastAsia="zh-CN"/>
        </w:rPr>
        <w:t>。</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（四）各宣传栏责任人要定期对宣传栏进行检查，并安排人员定期维护和清理</w:t>
      </w:r>
      <w:r>
        <w:rPr>
          <w:rFonts w:hint="eastAsia" w:ascii="仿宋" w:hAnsi="仿宋" w:eastAsia="仿宋" w:cs="仿宋"/>
          <w:sz w:val="32"/>
          <w:szCs w:val="32"/>
        </w:rPr>
        <w:t>,</w:t>
      </w:r>
      <w:r>
        <w:rPr>
          <w:rFonts w:hint="eastAsia" w:ascii="仿宋" w:hAnsi="仿宋" w:eastAsia="仿宋" w:cs="仿宋"/>
          <w:sz w:val="32"/>
          <w:szCs w:val="32"/>
          <w:lang w:eastAsia="zh-CN"/>
        </w:rPr>
        <w:t>保证宣传栏的整洁美观。如有发现破损现象，应及时进行维护。</w:t>
      </w:r>
    </w:p>
    <w:p>
      <w:pPr>
        <w:rPr>
          <w:rFonts w:hint="eastAsia" w:ascii="黑体" w:hAnsi="黑体" w:eastAsia="黑体" w:cs="黑体"/>
          <w:sz w:val="32"/>
          <w:szCs w:val="32"/>
        </w:rPr>
      </w:pPr>
      <w:r>
        <w:rPr>
          <w:rFonts w:hint="eastAsia" w:ascii="黑体" w:hAnsi="黑体" w:eastAsia="黑体" w:cs="黑体"/>
          <w:sz w:val="32"/>
          <w:szCs w:val="32"/>
          <w:lang w:eastAsia="zh-CN"/>
        </w:rPr>
        <w:t>二、条幅管理</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（一）</w:t>
      </w:r>
      <w:r>
        <w:rPr>
          <w:rFonts w:hint="eastAsia" w:ascii="仿宋" w:hAnsi="仿宋" w:eastAsia="仿宋" w:cs="仿宋"/>
          <w:sz w:val="32"/>
          <w:szCs w:val="32"/>
          <w:lang w:val="en-US" w:eastAsia="zh-CN"/>
        </w:rPr>
        <w:t>办公室和部门分管领导负责</w:t>
      </w:r>
      <w:r>
        <w:rPr>
          <w:rFonts w:hint="eastAsia" w:ascii="仿宋" w:hAnsi="仿宋" w:eastAsia="仿宋" w:cs="仿宋"/>
          <w:sz w:val="32"/>
          <w:szCs w:val="32"/>
          <w:lang w:eastAsia="zh-CN"/>
        </w:rPr>
        <w:t>条幅的审批工作，条幅</w:t>
      </w:r>
      <w:r>
        <w:rPr>
          <w:rFonts w:hint="eastAsia" w:ascii="仿宋" w:hAnsi="仿宋" w:eastAsia="仿宋" w:cs="仿宋"/>
          <w:sz w:val="32"/>
          <w:szCs w:val="32"/>
          <w:lang w:val="en-US" w:eastAsia="zh-CN"/>
        </w:rPr>
        <w:t>报批部门负责条幅的管理</w:t>
      </w:r>
      <w:r>
        <w:rPr>
          <w:rFonts w:hint="eastAsia" w:ascii="仿宋" w:hAnsi="仿宋" w:eastAsia="仿宋" w:cs="仿宋"/>
          <w:sz w:val="32"/>
          <w:szCs w:val="32"/>
          <w:lang w:eastAsia="zh-CN"/>
        </w:rPr>
        <w:t>工作</w:t>
      </w:r>
      <w:r>
        <w:rPr>
          <w:rFonts w:hint="eastAsia" w:ascii="仿宋" w:hAnsi="仿宋" w:eastAsia="仿宋" w:cs="仿宋"/>
          <w:sz w:val="32"/>
          <w:szCs w:val="32"/>
          <w:lang w:val="en-US" w:eastAsia="zh-CN"/>
        </w:rPr>
        <w:t>并做好</w:t>
      </w:r>
      <w:r>
        <w:rPr>
          <w:rFonts w:hint="eastAsia" w:ascii="仿宋" w:hAnsi="仿宋" w:eastAsia="仿宋" w:cs="仿宋"/>
          <w:sz w:val="32"/>
          <w:szCs w:val="32"/>
          <w:lang w:eastAsia="zh-CN"/>
        </w:rPr>
        <w:t>横幅内容</w:t>
      </w:r>
      <w:r>
        <w:rPr>
          <w:rFonts w:hint="eastAsia" w:ascii="仿宋" w:hAnsi="仿宋" w:eastAsia="仿宋" w:cs="仿宋"/>
          <w:sz w:val="32"/>
          <w:szCs w:val="32"/>
          <w:lang w:val="en-US" w:eastAsia="zh-CN"/>
        </w:rPr>
        <w:t>的</w:t>
      </w:r>
      <w:r>
        <w:rPr>
          <w:rFonts w:hint="eastAsia" w:ascii="仿宋" w:hAnsi="仿宋" w:eastAsia="仿宋" w:cs="仿宋"/>
          <w:sz w:val="32"/>
          <w:szCs w:val="32"/>
          <w:lang w:eastAsia="zh-CN"/>
        </w:rPr>
        <w:t>把关。</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t>申请悬挂的条幅内容要积极向上、文明健康，不得与党和国家的方针政策相违背。文字要正确规范，字体工整、整洁美观，不用繁体字和不规范的简化字。</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t>原则上校外单位不允许在校园内悬挂条幅。校外单</w:t>
      </w:r>
    </w:p>
    <w:p>
      <w:pPr>
        <w:rPr>
          <w:rFonts w:hint="eastAsia" w:ascii="仿宋" w:hAnsi="仿宋" w:eastAsia="仿宋" w:cs="仿宋"/>
          <w:sz w:val="32"/>
          <w:szCs w:val="32"/>
        </w:rPr>
      </w:pPr>
      <w:r>
        <w:rPr>
          <w:rFonts w:hint="eastAsia" w:ascii="仿宋" w:hAnsi="仿宋" w:eastAsia="仿宋" w:cs="仿宋"/>
          <w:sz w:val="32"/>
          <w:szCs w:val="32"/>
          <w:lang w:eastAsia="zh-CN"/>
        </w:rPr>
        <w:t>位与校内部门合作举办活动需要悬挂条幅的，由其合作的校内</w:t>
      </w:r>
      <w:r>
        <w:rPr>
          <w:rFonts w:hint="eastAsia" w:ascii="仿宋" w:hAnsi="仿宋" w:eastAsia="仿宋" w:cs="仿宋"/>
          <w:sz w:val="32"/>
          <w:szCs w:val="32"/>
          <w:lang w:val="en-US" w:eastAsia="zh-CN"/>
        </w:rPr>
        <w:t>部门</w:t>
      </w:r>
      <w:r>
        <w:rPr>
          <w:rFonts w:hint="eastAsia" w:ascii="仿宋" w:hAnsi="仿宋" w:eastAsia="仿宋" w:cs="仿宋"/>
          <w:sz w:val="32"/>
          <w:szCs w:val="32"/>
          <w:lang w:eastAsia="zh-CN"/>
        </w:rPr>
        <w:t>向</w:t>
      </w:r>
      <w:r>
        <w:rPr>
          <w:rFonts w:hint="eastAsia" w:ascii="仿宋" w:hAnsi="仿宋" w:eastAsia="仿宋" w:cs="仿宋"/>
          <w:sz w:val="32"/>
          <w:szCs w:val="32"/>
          <w:lang w:val="en-US" w:eastAsia="zh-CN"/>
        </w:rPr>
        <w:t>办公室</w:t>
      </w:r>
      <w:r>
        <w:rPr>
          <w:rFonts w:hint="eastAsia" w:ascii="仿宋" w:hAnsi="仿宋" w:eastAsia="仿宋" w:cs="仿宋"/>
          <w:sz w:val="32"/>
          <w:szCs w:val="32"/>
          <w:lang w:eastAsia="zh-CN"/>
        </w:rPr>
        <w:t>提出申请，经批准后方可在指定地点悬挂。禁止任何单位在校园内设置、悬挂纯商业性的条幅。</w:t>
      </w:r>
    </w:p>
    <w:p>
      <w:pPr>
        <w:rPr>
          <w:rFonts w:hint="eastAsia" w:ascii="仿宋" w:hAnsi="仿宋" w:eastAsia="仿宋" w:cs="仿宋"/>
          <w:sz w:val="32"/>
          <w:szCs w:val="32"/>
        </w:rPr>
      </w:pPr>
      <w:r>
        <w:rPr>
          <w:rFonts w:hint="eastAsia" w:ascii="仿宋" w:hAnsi="仿宋" w:eastAsia="仿宋" w:cs="仿宋"/>
          <w:sz w:val="32"/>
          <w:szCs w:val="32"/>
          <w:lang w:eastAsia="zh-CN"/>
        </w:rPr>
        <w:t>未经审批或没有按照规定悬挂条幅的，</w:t>
      </w:r>
      <w:r>
        <w:rPr>
          <w:rFonts w:hint="eastAsia" w:ascii="仿宋" w:hAnsi="仿宋" w:eastAsia="仿宋" w:cs="仿宋"/>
          <w:sz w:val="32"/>
          <w:szCs w:val="32"/>
          <w:lang w:val="en-US" w:eastAsia="zh-CN"/>
        </w:rPr>
        <w:t>办公室</w:t>
      </w:r>
      <w:r>
        <w:rPr>
          <w:rFonts w:hint="eastAsia" w:ascii="仿宋" w:hAnsi="仿宋" w:eastAsia="仿宋" w:cs="仿宋"/>
          <w:sz w:val="32"/>
          <w:szCs w:val="32"/>
          <w:lang w:eastAsia="zh-CN"/>
        </w:rPr>
        <w:t>将对条幅进行及时清理，对造成不良影响的要追究相关责任人的责任。</w:t>
      </w:r>
    </w:p>
    <w:p>
      <w:pPr>
        <w:rPr>
          <w:rFonts w:hint="eastAsia" w:ascii="黑体" w:hAnsi="黑体" w:eastAsia="黑体" w:cs="黑体"/>
          <w:sz w:val="32"/>
          <w:szCs w:val="32"/>
        </w:rPr>
      </w:pPr>
      <w:r>
        <w:rPr>
          <w:rFonts w:hint="eastAsia" w:ascii="黑体" w:hAnsi="黑体" w:eastAsia="黑体" w:cs="黑体"/>
          <w:sz w:val="32"/>
          <w:szCs w:val="32"/>
          <w:lang w:eastAsia="zh-CN"/>
        </w:rPr>
        <w:t>三、电子显示屏管理</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eastAsia="zh-CN"/>
        </w:rPr>
        <w:t>（一）</w:t>
      </w:r>
      <w:r>
        <w:rPr>
          <w:rFonts w:hint="eastAsia" w:ascii="仿宋" w:hAnsi="仿宋" w:eastAsia="仿宋" w:cs="仿宋"/>
          <w:sz w:val="32"/>
          <w:szCs w:val="32"/>
          <w:lang w:val="en-US" w:eastAsia="zh-CN"/>
        </w:rPr>
        <w:t>校内电子显示屏有办公室负责审批。校门口电子显示屏由办公室负责管理，人文楼电子显示屏有团委负责管理。</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（二）电子显示屏上传的信息主要包括学校重大活动信息、重要事项通知、重要节庆日宣传标语、</w:t>
      </w:r>
      <w:r>
        <w:rPr>
          <w:rFonts w:hint="eastAsia" w:ascii="仿宋" w:hAnsi="仿宋" w:eastAsia="仿宋" w:cs="仿宋"/>
          <w:sz w:val="32"/>
          <w:szCs w:val="32"/>
          <w:lang w:val="en-US" w:eastAsia="zh-CN"/>
        </w:rPr>
        <w:t>师生获奖信息、</w:t>
      </w:r>
      <w:r>
        <w:rPr>
          <w:rFonts w:hint="eastAsia" w:ascii="仿宋" w:hAnsi="仿宋" w:eastAsia="仿宋" w:cs="仿宋"/>
          <w:sz w:val="32"/>
          <w:szCs w:val="32"/>
          <w:lang w:eastAsia="zh-CN"/>
        </w:rPr>
        <w:t>全校性的学术讲座和文化活动资讯。</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（三）申请</w:t>
      </w:r>
      <w:r>
        <w:rPr>
          <w:rFonts w:hint="eastAsia" w:ascii="仿宋" w:hAnsi="仿宋" w:eastAsia="仿宋" w:cs="仿宋"/>
          <w:sz w:val="32"/>
          <w:szCs w:val="32"/>
          <w:lang w:val="en-US" w:eastAsia="zh-CN"/>
        </w:rPr>
        <w:t>处室、教研组或年段</w:t>
      </w:r>
      <w:r>
        <w:rPr>
          <w:rFonts w:hint="eastAsia" w:ascii="仿宋" w:hAnsi="仿宋" w:eastAsia="仿宋" w:cs="仿宋"/>
          <w:sz w:val="32"/>
          <w:szCs w:val="32"/>
          <w:lang w:eastAsia="zh-CN"/>
        </w:rPr>
        <w:t>需填写电子显示屏使用申请表，申请内容经</w:t>
      </w:r>
      <w:r>
        <w:rPr>
          <w:rFonts w:hint="eastAsia" w:ascii="仿宋" w:hAnsi="仿宋" w:eastAsia="仿宋" w:cs="仿宋"/>
          <w:sz w:val="32"/>
          <w:szCs w:val="32"/>
          <w:lang w:val="en-US" w:eastAsia="zh-CN"/>
        </w:rPr>
        <w:t>办公室</w:t>
      </w:r>
      <w:r>
        <w:rPr>
          <w:rFonts w:hint="eastAsia" w:ascii="仿宋" w:hAnsi="仿宋" w:eastAsia="仿宋" w:cs="仿宋"/>
          <w:sz w:val="32"/>
          <w:szCs w:val="32"/>
          <w:lang w:eastAsia="zh-CN"/>
        </w:rPr>
        <w:t>审核同意后编辑上传。</w:t>
      </w:r>
    </w:p>
    <w:p>
      <w:pPr>
        <w:ind w:left="640" w:hanging="640" w:hangingChars="200"/>
        <w:rPr>
          <w:rFonts w:hint="eastAsia" w:ascii="黑体" w:hAnsi="黑体" w:eastAsia="黑体" w:cs="黑体"/>
          <w:sz w:val="32"/>
          <w:szCs w:val="32"/>
        </w:rPr>
      </w:pPr>
      <w:r>
        <w:rPr>
          <w:rFonts w:hint="eastAsia" w:ascii="黑体" w:hAnsi="黑体" w:eastAsia="黑体" w:cs="黑体"/>
          <w:sz w:val="32"/>
          <w:szCs w:val="32"/>
          <w:lang w:eastAsia="zh-CN"/>
        </w:rPr>
        <w:t>四、办公楼、实验室、教室、</w:t>
      </w:r>
      <w:r>
        <w:rPr>
          <w:rFonts w:hint="eastAsia" w:ascii="黑体" w:hAnsi="黑体" w:eastAsia="黑体" w:cs="黑体"/>
          <w:sz w:val="32"/>
          <w:szCs w:val="32"/>
          <w:lang w:val="en-US" w:eastAsia="zh-CN"/>
        </w:rPr>
        <w:t>食堂、</w:t>
      </w:r>
      <w:r>
        <w:rPr>
          <w:rFonts w:hint="eastAsia" w:ascii="黑体" w:hAnsi="黑体" w:eastAsia="黑体" w:cs="黑体"/>
          <w:sz w:val="32"/>
          <w:szCs w:val="32"/>
          <w:lang w:eastAsia="zh-CN"/>
        </w:rPr>
        <w:t>学生</w:t>
      </w:r>
      <w:r>
        <w:rPr>
          <w:rFonts w:hint="eastAsia" w:ascii="黑体" w:hAnsi="黑体" w:eastAsia="黑体" w:cs="黑体"/>
          <w:sz w:val="32"/>
          <w:szCs w:val="32"/>
          <w:lang w:val="en-US" w:eastAsia="zh-CN"/>
        </w:rPr>
        <w:t>宿舍</w:t>
      </w:r>
      <w:r>
        <w:rPr>
          <w:rFonts w:hint="eastAsia" w:ascii="黑体" w:hAnsi="黑体" w:eastAsia="黑体" w:cs="黑体"/>
          <w:sz w:val="32"/>
          <w:szCs w:val="32"/>
          <w:lang w:eastAsia="zh-CN"/>
        </w:rPr>
        <w:t>等场所公共宣</w:t>
      </w:r>
      <w:bookmarkStart w:id="0" w:name="_GoBack"/>
      <w:bookmarkEnd w:id="0"/>
      <w:r>
        <w:rPr>
          <w:rFonts w:hint="eastAsia" w:ascii="黑体" w:hAnsi="黑体" w:eastAsia="黑体" w:cs="黑体"/>
          <w:sz w:val="32"/>
          <w:szCs w:val="32"/>
          <w:lang w:eastAsia="zh-CN"/>
        </w:rPr>
        <w:t>传载体管理</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（一）明确责任主体，活动室、会议室等公共宣传载体按照“谁使用、谁负责”的原则进行管理。使用</w:t>
      </w:r>
      <w:r>
        <w:rPr>
          <w:rFonts w:hint="eastAsia" w:ascii="仿宋" w:hAnsi="仿宋" w:eastAsia="仿宋" w:cs="仿宋"/>
          <w:sz w:val="32"/>
          <w:szCs w:val="32"/>
          <w:lang w:val="en-US" w:eastAsia="zh-CN"/>
        </w:rPr>
        <w:t>处室</w:t>
      </w:r>
      <w:r>
        <w:rPr>
          <w:rFonts w:hint="eastAsia" w:ascii="仿宋" w:hAnsi="仿宋" w:eastAsia="仿宋" w:cs="仿宋"/>
          <w:sz w:val="32"/>
          <w:szCs w:val="32"/>
          <w:lang w:eastAsia="zh-CN"/>
        </w:rPr>
        <w:t>对活动室、会议室等室内办公场所悬挂宣传品要进行审核、把关，明确责任人和分管领导。</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w:t>
      </w:r>
      <w:r>
        <w:rPr>
          <w:rFonts w:hint="eastAsia" w:ascii="仿宋" w:hAnsi="仿宋" w:eastAsia="仿宋" w:cs="仿宋"/>
          <w:sz w:val="32"/>
          <w:szCs w:val="32"/>
          <w:lang w:eastAsia="zh-CN"/>
        </w:rPr>
        <w:t>）所有楼宇公共领域悬挂的宣传品内容要能够注重政治性，体现时代性，使用最新表述。</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三</w:t>
      </w:r>
      <w:r>
        <w:rPr>
          <w:rFonts w:hint="eastAsia" w:ascii="仿宋" w:hAnsi="仿宋" w:eastAsia="仿宋" w:cs="仿宋"/>
          <w:sz w:val="32"/>
          <w:szCs w:val="32"/>
          <w:lang w:eastAsia="zh-CN"/>
        </w:rPr>
        <w:t>）责任</w:t>
      </w:r>
      <w:r>
        <w:rPr>
          <w:rFonts w:hint="eastAsia" w:ascii="仿宋" w:hAnsi="仿宋" w:eastAsia="仿宋" w:cs="仿宋"/>
          <w:sz w:val="32"/>
          <w:szCs w:val="32"/>
          <w:lang w:val="en-US" w:eastAsia="zh-CN"/>
        </w:rPr>
        <w:t>处室</w:t>
      </w:r>
      <w:r>
        <w:rPr>
          <w:rFonts w:hint="eastAsia" w:ascii="仿宋" w:hAnsi="仿宋" w:eastAsia="仿宋" w:cs="仿宋"/>
          <w:sz w:val="32"/>
          <w:szCs w:val="32"/>
          <w:lang w:eastAsia="zh-CN"/>
        </w:rPr>
        <w:t>要对楼宇公共宣传载体定期进行检查、维护和清理，对于外观破损、内容陈旧、张贴不规整等问题要及时进行更换。</w:t>
      </w:r>
    </w:p>
    <w:p>
      <w:pPr>
        <w:rPr>
          <w:rFonts w:hint="eastAsia" w:ascii="黑体" w:hAnsi="黑体" w:eastAsia="黑体" w:cs="黑体"/>
          <w:sz w:val="32"/>
          <w:szCs w:val="32"/>
        </w:rPr>
      </w:pPr>
      <w:r>
        <w:rPr>
          <w:rFonts w:hint="eastAsia" w:ascii="黑体" w:hAnsi="黑体" w:eastAsia="黑体" w:cs="黑体"/>
          <w:sz w:val="32"/>
          <w:szCs w:val="32"/>
        </w:rPr>
        <w:t>五、网站、自媒体等公共宣传阵地管理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依照《中共</w:t>
      </w:r>
      <w:r>
        <w:rPr>
          <w:rFonts w:hint="eastAsia" w:ascii="仿宋" w:hAnsi="仿宋" w:eastAsia="仿宋" w:cs="仿宋"/>
          <w:sz w:val="32"/>
          <w:szCs w:val="32"/>
          <w:lang w:val="en-US" w:eastAsia="zh-CN"/>
        </w:rPr>
        <w:t>莆田市委宣传部关于印发&lt;关于加强和改进公共领域宣传载体管理工作的意见&gt;的通知</w:t>
      </w:r>
      <w:r>
        <w:rPr>
          <w:rFonts w:hint="eastAsia" w:ascii="仿宋" w:hAnsi="仿宋" w:eastAsia="仿宋" w:cs="仿宋"/>
          <w:sz w:val="32"/>
          <w:szCs w:val="32"/>
        </w:rPr>
        <w:t>》（</w:t>
      </w:r>
      <w:r>
        <w:rPr>
          <w:rFonts w:hint="eastAsia" w:ascii="仿宋" w:hAnsi="仿宋" w:eastAsia="仿宋" w:cs="仿宋"/>
          <w:sz w:val="32"/>
          <w:szCs w:val="32"/>
          <w:lang w:val="en-US" w:eastAsia="zh-CN"/>
        </w:rPr>
        <w:t>莆委宣</w:t>
      </w:r>
      <w:r>
        <w:rPr>
          <w:rFonts w:hint="eastAsia" w:ascii="仿宋" w:hAnsi="仿宋" w:eastAsia="仿宋" w:cs="仿宋"/>
          <w:sz w:val="32"/>
          <w:szCs w:val="32"/>
        </w:rPr>
        <w:t>〔201</w:t>
      </w:r>
      <w:r>
        <w:rPr>
          <w:rFonts w:hint="eastAsia" w:ascii="仿宋" w:hAnsi="仿宋" w:eastAsia="仿宋" w:cs="仿宋"/>
          <w:sz w:val="32"/>
          <w:szCs w:val="32"/>
          <w:lang w:val="en-US" w:eastAsia="zh-CN"/>
        </w:rPr>
        <w:t>9</w:t>
      </w:r>
      <w:r>
        <w:rPr>
          <w:rFonts w:hint="eastAsia" w:ascii="仿宋" w:hAnsi="仿宋" w:eastAsia="仿宋" w:cs="仿宋"/>
          <w:sz w:val="32"/>
          <w:szCs w:val="32"/>
        </w:rPr>
        <w:t>〕7</w:t>
      </w:r>
      <w:r>
        <w:rPr>
          <w:rFonts w:hint="eastAsia" w:ascii="仿宋" w:hAnsi="仿宋" w:eastAsia="仿宋" w:cs="仿宋"/>
          <w:sz w:val="32"/>
          <w:szCs w:val="32"/>
          <w:lang w:val="en-US" w:eastAsia="zh-CN"/>
        </w:rPr>
        <w:t>7</w:t>
      </w:r>
      <w:r>
        <w:rPr>
          <w:rFonts w:hint="eastAsia" w:ascii="仿宋" w:hAnsi="仿宋" w:eastAsia="仿宋" w:cs="仿宋"/>
          <w:sz w:val="32"/>
          <w:szCs w:val="32"/>
        </w:rPr>
        <w:t>号）和</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关于印发&lt;</w:t>
      </w:r>
      <w:r>
        <w:rPr>
          <w:rFonts w:hint="eastAsia" w:ascii="仿宋" w:hAnsi="仿宋" w:eastAsia="仿宋" w:cs="仿宋"/>
          <w:sz w:val="32"/>
          <w:szCs w:val="32"/>
        </w:rPr>
        <w:t>莆田第二中学校园网、微信公众号信息发布与管理制度</w:t>
      </w:r>
      <w:r>
        <w:rPr>
          <w:rFonts w:hint="eastAsia" w:ascii="仿宋" w:hAnsi="仿宋" w:eastAsia="仿宋" w:cs="仿宋"/>
          <w:sz w:val="32"/>
          <w:szCs w:val="32"/>
          <w:lang w:val="en-US" w:eastAsia="zh-CN"/>
        </w:rPr>
        <w:t>&gt;的通知》</w:t>
      </w:r>
      <w:r>
        <w:rPr>
          <w:rFonts w:hint="eastAsia" w:ascii="仿宋" w:hAnsi="仿宋" w:eastAsia="仿宋" w:cs="仿宋"/>
          <w:sz w:val="32"/>
          <w:szCs w:val="32"/>
          <w:lang w:eastAsia="zh-CN"/>
        </w:rPr>
        <w:t>（</w:t>
      </w:r>
      <w:r>
        <w:rPr>
          <w:rFonts w:hint="eastAsia" w:ascii="仿宋" w:hAnsi="仿宋" w:eastAsia="仿宋" w:cs="仿宋"/>
          <w:sz w:val="32"/>
          <w:szCs w:val="32"/>
        </w:rPr>
        <w:t>莆二中〔2019〕27号</w:t>
      </w:r>
      <w:r>
        <w:rPr>
          <w:rFonts w:hint="eastAsia" w:ascii="仿宋" w:hAnsi="仿宋" w:eastAsia="仿宋" w:cs="仿宋"/>
          <w:sz w:val="32"/>
          <w:szCs w:val="32"/>
          <w:lang w:eastAsia="zh-CN"/>
        </w:rPr>
        <w:t>）</w:t>
      </w:r>
      <w:r>
        <w:rPr>
          <w:rFonts w:hint="eastAsia" w:ascii="仿宋" w:hAnsi="仿宋" w:eastAsia="仿宋" w:cs="仿宋"/>
          <w:sz w:val="32"/>
          <w:szCs w:val="32"/>
        </w:rPr>
        <w:t>执行。</w:t>
      </w:r>
    </w:p>
    <w:p>
      <w:pPr>
        <w:rPr>
          <w:rFonts w:hint="eastAsia" w:ascii="黑体" w:hAnsi="黑体" w:eastAsia="黑体" w:cs="黑体"/>
          <w:sz w:val="32"/>
          <w:szCs w:val="32"/>
          <w:lang w:eastAsia="zh-CN"/>
        </w:rPr>
      </w:pPr>
    </w:p>
    <w:p>
      <w:pPr>
        <w:rPr>
          <w:rFonts w:hint="eastAsia" w:ascii="黑体" w:hAnsi="黑体" w:eastAsia="黑体" w:cs="黑体"/>
          <w:sz w:val="32"/>
          <w:szCs w:val="32"/>
        </w:rPr>
      </w:pPr>
      <w:r>
        <w:rPr>
          <w:rFonts w:hint="eastAsia" w:ascii="黑体" w:hAnsi="黑体" w:eastAsia="黑体" w:cs="黑体"/>
          <w:sz w:val="32"/>
          <w:szCs w:val="32"/>
          <w:lang w:eastAsia="zh-CN"/>
        </w:rPr>
        <w:t>六、相关要求</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（一）要提高认识。坚持以习近平新时代中国特色社会主义思想为指导，要以更强的政治责任、更实的工作举措，充分认识到做好公共领域宣传载体工作是营造良好的政治生态和育人氛围的重要保证。</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（二）要落实责任。要明确责任，压实责任，要明确公共领域宣传载体分管领导，做到每一栋楼、每一个楼道、每一面墙、每一个宣传载体都有责任人，做到横向到边，纵向到底，不留死角全覆盖，</w:t>
      </w:r>
      <w:r>
        <w:rPr>
          <w:rFonts w:hint="eastAsia" w:ascii="仿宋" w:hAnsi="仿宋" w:eastAsia="仿宋" w:cs="仿宋"/>
          <w:sz w:val="32"/>
          <w:szCs w:val="32"/>
          <w:lang w:val="en-US" w:eastAsia="zh-CN"/>
        </w:rPr>
        <w:t>共同</w:t>
      </w:r>
      <w:r>
        <w:rPr>
          <w:rFonts w:hint="eastAsia" w:ascii="仿宋" w:hAnsi="仿宋" w:eastAsia="仿宋" w:cs="仿宋"/>
          <w:sz w:val="32"/>
          <w:szCs w:val="32"/>
          <w:lang w:eastAsia="zh-CN"/>
        </w:rPr>
        <w:t>做好本</w:t>
      </w:r>
      <w:r>
        <w:rPr>
          <w:rFonts w:hint="eastAsia" w:ascii="仿宋" w:hAnsi="仿宋" w:eastAsia="仿宋" w:cs="仿宋"/>
          <w:sz w:val="32"/>
          <w:szCs w:val="32"/>
          <w:lang w:val="en-US" w:eastAsia="zh-CN"/>
        </w:rPr>
        <w:t>校</w:t>
      </w:r>
      <w:r>
        <w:rPr>
          <w:rFonts w:hint="eastAsia" w:ascii="仿宋" w:hAnsi="仿宋" w:eastAsia="仿宋" w:cs="仿宋"/>
          <w:sz w:val="32"/>
          <w:szCs w:val="32"/>
          <w:lang w:eastAsia="zh-CN"/>
        </w:rPr>
        <w:t>的公共领域宣传载体</w:t>
      </w:r>
      <w:r>
        <w:rPr>
          <w:rFonts w:hint="eastAsia" w:ascii="仿宋" w:hAnsi="仿宋" w:eastAsia="仿宋" w:cs="仿宋"/>
          <w:sz w:val="32"/>
          <w:szCs w:val="32"/>
          <w:lang w:val="en-US" w:eastAsia="zh-CN"/>
        </w:rPr>
        <w:t>管理工作</w:t>
      </w:r>
      <w:r>
        <w:rPr>
          <w:rFonts w:hint="eastAsia" w:ascii="仿宋" w:hAnsi="仿宋" w:eastAsia="仿宋" w:cs="仿宋"/>
          <w:sz w:val="32"/>
          <w:szCs w:val="32"/>
          <w:lang w:eastAsia="zh-CN"/>
        </w:rPr>
        <w:t xml:space="preserve">。 </w:t>
      </w:r>
    </w:p>
    <w:p>
      <w:pPr>
        <w:ind w:firstLine="640" w:firstLineChars="200"/>
        <w:rPr>
          <w:rFonts w:hint="eastAsia"/>
        </w:rPr>
      </w:pPr>
      <w:r>
        <w:rPr>
          <w:rFonts w:hint="eastAsia" w:ascii="仿宋" w:hAnsi="仿宋" w:eastAsia="仿宋" w:cs="仿宋"/>
          <w:sz w:val="32"/>
          <w:szCs w:val="32"/>
          <w:lang w:eastAsia="zh-CN"/>
        </w:rPr>
        <w:t>（三）要强化监督。</w:t>
      </w:r>
      <w:r>
        <w:rPr>
          <w:rFonts w:hint="eastAsia" w:ascii="仿宋" w:hAnsi="仿宋" w:eastAsia="仿宋" w:cs="仿宋"/>
          <w:sz w:val="32"/>
          <w:szCs w:val="32"/>
          <w:lang w:val="en-US" w:eastAsia="zh-CN"/>
        </w:rPr>
        <w:t>办公室和党办</w:t>
      </w:r>
      <w:r>
        <w:rPr>
          <w:rFonts w:hint="eastAsia" w:ascii="仿宋" w:hAnsi="仿宋" w:eastAsia="仿宋" w:cs="仿宋"/>
          <w:sz w:val="32"/>
          <w:szCs w:val="32"/>
          <w:lang w:eastAsia="zh-CN"/>
        </w:rPr>
        <w:t>将定期对校内公共领域宣传载体进行巡查，至少每个学期安排一次，将问题及时反馈给相关</w:t>
      </w:r>
      <w:r>
        <w:rPr>
          <w:rFonts w:hint="eastAsia" w:ascii="仿宋" w:hAnsi="仿宋" w:eastAsia="仿宋" w:cs="仿宋"/>
          <w:sz w:val="32"/>
          <w:szCs w:val="32"/>
          <w:lang w:val="en-US" w:eastAsia="zh-CN"/>
        </w:rPr>
        <w:t>处室</w:t>
      </w:r>
      <w:r>
        <w:rPr>
          <w:rFonts w:hint="eastAsia" w:ascii="仿宋" w:hAnsi="仿宋" w:eastAsia="仿宋" w:cs="仿宋"/>
          <w:sz w:val="32"/>
          <w:szCs w:val="32"/>
          <w:lang w:eastAsia="zh-CN"/>
        </w:rPr>
        <w:t>，并责令整改，对因工作责任不落实，而造成不良影响的坚决追究相关责任人的责任</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将巡</w:t>
      </w:r>
      <w:r>
        <w:rPr>
          <w:rFonts w:hint="eastAsia" w:ascii="仿宋" w:hAnsi="仿宋" w:eastAsia="仿宋" w:cs="仿宋"/>
          <w:sz w:val="32"/>
          <w:szCs w:val="32"/>
          <w:lang w:val="en-US" w:eastAsia="zh-CN"/>
        </w:rPr>
        <w:t>查</w:t>
      </w:r>
      <w:r>
        <w:rPr>
          <w:rFonts w:hint="eastAsia" w:ascii="仿宋" w:hAnsi="仿宋" w:eastAsia="仿宋" w:cs="仿宋"/>
          <w:sz w:val="32"/>
          <w:szCs w:val="32"/>
          <w:lang w:eastAsia="zh-CN"/>
        </w:rPr>
        <w:t>结果纳入</w:t>
      </w:r>
      <w:r>
        <w:rPr>
          <w:rFonts w:hint="eastAsia" w:ascii="仿宋" w:hAnsi="仿宋" w:eastAsia="仿宋" w:cs="仿宋"/>
          <w:sz w:val="32"/>
          <w:szCs w:val="32"/>
          <w:lang w:val="en-US" w:eastAsia="zh-CN"/>
        </w:rPr>
        <w:t>干部年度</w:t>
      </w:r>
      <w:r>
        <w:rPr>
          <w:rFonts w:hint="eastAsia" w:ascii="仿宋" w:hAnsi="仿宋" w:eastAsia="仿宋" w:cs="仿宋"/>
          <w:sz w:val="32"/>
          <w:szCs w:val="32"/>
          <w:lang w:eastAsia="zh-CN"/>
        </w:rPr>
        <w:t>考核之中。</w:t>
      </w:r>
    </w:p>
    <w:p>
      <w:pPr>
        <w:keepNext w:val="0"/>
        <w:keepLines w:val="0"/>
        <w:pageBreakBefore w:val="0"/>
        <w:widowControl w:val="0"/>
        <w:kinsoku/>
        <w:wordWrap/>
        <w:overflowPunct/>
        <w:topLinePunct w:val="0"/>
        <w:autoSpaceDE/>
        <w:autoSpaceDN/>
        <w:bidi w:val="0"/>
        <w:adjustRightInd/>
        <w:snapToGrid/>
        <w:spacing w:line="700" w:lineRule="exact"/>
        <w:ind w:firstLine="560" w:firstLineChars="200"/>
        <w:jc w:val="left"/>
        <w:textAlignment w:val="auto"/>
        <w:rPr>
          <w:rFonts w:hint="default" w:ascii="仿宋" w:hAnsi="仿宋" w:eastAsia="仿宋" w:cs="仿宋"/>
          <w:color w:val="2B2B2B"/>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left"/>
        <w:textAlignment w:val="auto"/>
        <w:rPr>
          <w:rFonts w:hint="default" w:ascii="仿宋" w:hAnsi="仿宋" w:eastAsia="仿宋" w:cs="仿宋"/>
          <w:color w:val="2B2B2B"/>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pacing w:line="240" w:lineRule="auto"/>
        <w:ind w:firstLine="5880" w:firstLineChars="2100"/>
        <w:textAlignment w:val="auto"/>
        <w:rPr>
          <w:rFonts w:hint="eastAsia" w:ascii="仿宋" w:hAnsi="仿宋" w:eastAsia="仿宋" w:cs="仿宋"/>
          <w:sz w:val="28"/>
          <w:szCs w:val="28"/>
        </w:rPr>
      </w:pPr>
      <w:r>
        <w:rPr>
          <w:rFonts w:hint="eastAsia" w:ascii="仿宋" w:hAnsi="仿宋" w:eastAsia="仿宋" w:cs="仿宋"/>
          <w:sz w:val="28"/>
          <w:szCs w:val="28"/>
        </w:rPr>
        <w:t>莆田第二中学</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cs="宋体"/>
          <w:bCs/>
          <w:color w:val="000000"/>
          <w:kern w:val="0"/>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20</w:t>
      </w:r>
      <w:r>
        <w:rPr>
          <w:rFonts w:hint="eastAsia" w:ascii="仿宋" w:hAnsi="仿宋" w:eastAsia="仿宋" w:cs="仿宋"/>
          <w:sz w:val="28"/>
          <w:szCs w:val="28"/>
          <w:lang w:val="en-US" w:eastAsia="zh-CN"/>
        </w:rPr>
        <w:t>21</w:t>
      </w:r>
      <w:r>
        <w:rPr>
          <w:rFonts w:hint="eastAsia" w:ascii="仿宋" w:hAnsi="仿宋" w:eastAsia="仿宋" w:cs="仿宋"/>
          <w:sz w:val="28"/>
          <w:szCs w:val="28"/>
        </w:rPr>
        <w:t>年</w:t>
      </w:r>
      <w:r>
        <w:rPr>
          <w:rFonts w:hint="eastAsia" w:ascii="仿宋" w:hAnsi="仿宋" w:eastAsia="仿宋" w:cs="仿宋"/>
          <w:sz w:val="28"/>
          <w:szCs w:val="28"/>
          <w:lang w:val="en-US" w:eastAsia="zh-CN"/>
        </w:rPr>
        <w:t>3</w:t>
      </w:r>
      <w:r>
        <w:rPr>
          <w:rFonts w:hint="eastAsia" w:ascii="仿宋" w:hAnsi="仿宋" w:eastAsia="仿宋" w:cs="仿宋"/>
          <w:sz w:val="28"/>
          <w:szCs w:val="28"/>
        </w:rPr>
        <w:t>月</w:t>
      </w:r>
      <w:r>
        <w:rPr>
          <w:rFonts w:hint="eastAsia" w:ascii="仿宋" w:hAnsi="仿宋" w:eastAsia="仿宋" w:cs="仿宋"/>
          <w:sz w:val="28"/>
          <w:szCs w:val="28"/>
          <w:lang w:val="en-US" w:eastAsia="zh-CN"/>
        </w:rPr>
        <w:t>5</w:t>
      </w:r>
      <w:r>
        <w:rPr>
          <w:rFonts w:hint="eastAsia" w:ascii="仿宋" w:hAnsi="仿宋" w:eastAsia="仿宋" w:cs="仿宋"/>
          <w:sz w:val="28"/>
          <w:szCs w:val="28"/>
        </w:rPr>
        <w:t>日</w:t>
      </w:r>
      <w:r>
        <w:rPr>
          <w:rFonts w:hint="eastAsia" w:ascii="宋体" w:hAnsi="宋体" w:cs="宋体"/>
          <w:bCs/>
          <w:color w:val="000000"/>
          <w:kern w:val="0"/>
          <w:sz w:val="28"/>
          <w:szCs w:val="28"/>
        </w:rPr>
        <w:t xml:space="preserve"> </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bCs/>
          <w:color w:val="000000"/>
          <w:kern w:val="0"/>
          <w:sz w:val="32"/>
          <w:szCs w:val="32"/>
          <w:lang w:eastAsia="zh-CN"/>
        </w:rPr>
      </w:pPr>
      <w:r>
        <w:rPr>
          <w:rFonts w:hint="eastAsia" w:ascii="宋体" w:hAnsi="宋体" w:cs="宋体"/>
          <w:bCs/>
          <w:color w:val="000000"/>
          <w:kern w:val="0"/>
          <w:sz w:val="32"/>
          <w:szCs w:val="32"/>
        </w:rPr>
        <w:t xml:space="preserve"> </w:t>
      </w:r>
    </w:p>
    <w:p>
      <w:pPr>
        <w:keepNext w:val="0"/>
        <w:keepLines w:val="0"/>
        <w:pageBreakBefore w:val="0"/>
        <w:widowControl w:val="0"/>
        <w:kinsoku/>
        <w:wordWrap/>
        <w:overflowPunct/>
        <w:topLinePunct w:val="0"/>
        <w:autoSpaceDE/>
        <w:autoSpaceDN/>
        <w:bidi w:val="0"/>
        <w:adjustRightInd/>
        <w:spacing w:line="240" w:lineRule="auto"/>
        <w:textAlignment w:val="auto"/>
        <w:rPr>
          <w:rFonts w:ascii="宋体" w:hAnsi="宋体" w:cs="宋体"/>
          <w:bCs/>
          <w:color w:val="000000"/>
          <w:kern w:val="0"/>
          <w:sz w:val="32"/>
          <w:szCs w:val="32"/>
          <w:u w:val="single"/>
        </w:rPr>
      </w:pPr>
      <w:r>
        <w:rPr>
          <w:rFonts w:hint="eastAsia" w:ascii="宋体" w:hAnsi="宋体" w:cs="宋体"/>
          <w:bCs/>
          <w:color w:val="000000"/>
          <w:kern w:val="0"/>
          <w:sz w:val="32"/>
          <w:szCs w:val="32"/>
          <w:u w:val="single"/>
        </w:rPr>
        <w:t xml:space="preserve">                                                   </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仿宋_GB2312" w:hAnsi="宋体" w:eastAsia="仿宋_GB2312" w:cs="宋体"/>
          <w:bCs/>
          <w:color w:val="000000"/>
          <w:kern w:val="0"/>
          <w:sz w:val="28"/>
          <w:szCs w:val="28"/>
          <w:u w:val="single"/>
        </w:rPr>
      </w:pPr>
      <w:r>
        <w:rPr>
          <w:rFonts w:hint="eastAsia" w:ascii="仿宋_GB2312" w:hAnsi="宋体" w:eastAsia="仿宋_GB2312" w:cs="宋体"/>
          <w:bCs/>
          <w:color w:val="000000"/>
          <w:kern w:val="0"/>
          <w:sz w:val="32"/>
          <w:szCs w:val="32"/>
          <w:u w:val="single"/>
        </w:rPr>
        <w:t xml:space="preserve"> </w:t>
      </w:r>
      <w:r>
        <w:rPr>
          <w:rFonts w:hint="eastAsia" w:ascii="仿宋" w:hAnsi="仿宋" w:eastAsia="仿宋" w:cs="仿宋"/>
          <w:bCs/>
          <w:color w:val="000000"/>
          <w:kern w:val="0"/>
          <w:sz w:val="28"/>
          <w:szCs w:val="28"/>
          <w:u w:val="single"/>
        </w:rPr>
        <w:t xml:space="preserve"> 莆田第二中学办公室     </w:t>
      </w:r>
      <w:r>
        <w:rPr>
          <w:rFonts w:hint="eastAsia" w:ascii="仿宋" w:hAnsi="仿宋" w:eastAsia="仿宋" w:cs="仿宋"/>
          <w:bCs/>
          <w:color w:val="000000"/>
          <w:kern w:val="0"/>
          <w:sz w:val="28"/>
          <w:szCs w:val="28"/>
          <w:u w:val="single"/>
          <w:lang w:val="en-US" w:eastAsia="zh-CN"/>
        </w:rPr>
        <w:t xml:space="preserve">   </w:t>
      </w:r>
      <w:r>
        <w:rPr>
          <w:rFonts w:hint="eastAsia" w:ascii="仿宋" w:hAnsi="仿宋" w:eastAsia="仿宋" w:cs="仿宋"/>
          <w:bCs/>
          <w:color w:val="000000"/>
          <w:kern w:val="0"/>
          <w:sz w:val="28"/>
          <w:szCs w:val="28"/>
          <w:u w:val="single"/>
        </w:rPr>
        <w:t xml:space="preserve">           20</w:t>
      </w:r>
      <w:r>
        <w:rPr>
          <w:rFonts w:hint="eastAsia" w:ascii="仿宋" w:hAnsi="仿宋" w:eastAsia="仿宋" w:cs="仿宋"/>
          <w:bCs/>
          <w:color w:val="000000"/>
          <w:kern w:val="0"/>
          <w:sz w:val="28"/>
          <w:szCs w:val="28"/>
          <w:u w:val="single"/>
          <w:lang w:val="en-US" w:eastAsia="zh-CN"/>
        </w:rPr>
        <w:t>21</w:t>
      </w:r>
      <w:r>
        <w:rPr>
          <w:rFonts w:hint="eastAsia" w:ascii="仿宋" w:hAnsi="仿宋" w:eastAsia="仿宋" w:cs="仿宋"/>
          <w:bCs/>
          <w:color w:val="000000"/>
          <w:kern w:val="0"/>
          <w:sz w:val="28"/>
          <w:szCs w:val="28"/>
          <w:u w:val="single"/>
        </w:rPr>
        <w:t>年</w:t>
      </w:r>
      <w:r>
        <w:rPr>
          <w:rFonts w:hint="eastAsia" w:ascii="仿宋" w:hAnsi="仿宋" w:eastAsia="仿宋" w:cs="仿宋"/>
          <w:bCs/>
          <w:color w:val="000000"/>
          <w:kern w:val="0"/>
          <w:sz w:val="28"/>
          <w:szCs w:val="28"/>
          <w:u w:val="single"/>
          <w:lang w:val="en-US" w:eastAsia="zh-CN"/>
        </w:rPr>
        <w:t>3</w:t>
      </w:r>
      <w:r>
        <w:rPr>
          <w:rFonts w:hint="eastAsia" w:ascii="仿宋" w:hAnsi="仿宋" w:eastAsia="仿宋" w:cs="仿宋"/>
          <w:bCs/>
          <w:color w:val="000000"/>
          <w:kern w:val="0"/>
          <w:sz w:val="28"/>
          <w:szCs w:val="28"/>
          <w:u w:val="single"/>
        </w:rPr>
        <w:t>月</w:t>
      </w:r>
      <w:r>
        <w:rPr>
          <w:rFonts w:hint="eastAsia" w:ascii="仿宋" w:hAnsi="仿宋" w:eastAsia="仿宋" w:cs="仿宋"/>
          <w:bCs/>
          <w:color w:val="000000"/>
          <w:kern w:val="0"/>
          <w:sz w:val="28"/>
          <w:szCs w:val="28"/>
          <w:u w:val="single"/>
          <w:lang w:val="en-US" w:eastAsia="zh-CN"/>
        </w:rPr>
        <w:t>5</w:t>
      </w:r>
      <w:r>
        <w:rPr>
          <w:rFonts w:hint="eastAsia" w:ascii="仿宋" w:hAnsi="仿宋" w:eastAsia="仿宋" w:cs="仿宋"/>
          <w:bCs/>
          <w:color w:val="000000"/>
          <w:kern w:val="0"/>
          <w:sz w:val="28"/>
          <w:szCs w:val="28"/>
          <w:u w:val="single"/>
        </w:rPr>
        <w:t xml:space="preserve">日印发 </w:t>
      </w:r>
      <w:r>
        <w:rPr>
          <w:rFonts w:hint="eastAsia" w:ascii="仿宋_GB2312" w:hAnsi="宋体" w:eastAsia="仿宋_GB2312" w:cs="宋体"/>
          <w:bCs/>
          <w:color w:val="000000"/>
          <w:kern w:val="0"/>
          <w:sz w:val="28"/>
          <w:szCs w:val="28"/>
          <w:u w:val="single"/>
        </w:rPr>
        <w:t xml:space="preserve">  </w:t>
      </w:r>
    </w:p>
    <w:sectPr>
      <w:headerReference r:id="rId3" w:type="default"/>
      <w:footerReference r:id="rId4" w:type="default"/>
      <w:pgSz w:w="11906" w:h="16838"/>
      <w:pgMar w:top="1440" w:right="1800" w:bottom="1402"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2CEB00B-1E01-47F7-8B76-DF1E580438C0}"/>
  </w:font>
  <w:font w:name="Arial">
    <w:panose1 w:val="020B0604020202020204"/>
    <w:charset w:val="01"/>
    <w:family w:val="swiss"/>
    <w:pitch w:val="default"/>
    <w:sig w:usb0="00007A87" w:usb1="80000000" w:usb2="00000008" w:usb3="00000000" w:csb0="400001FF" w:csb1="FFFF0000"/>
    <w:embedRegular r:id="rId2" w:fontKey="{534EAEBE-36C0-40C4-980C-B0802D7A5468}"/>
  </w:font>
  <w:font w:name="黑体">
    <w:panose1 w:val="02010600030101010101"/>
    <w:charset w:val="86"/>
    <w:family w:val="auto"/>
    <w:pitch w:val="default"/>
    <w:sig w:usb0="800002BF" w:usb1="38CF7CFA" w:usb2="00000016" w:usb3="00000000" w:csb0="00040001" w:csb1="00000000"/>
    <w:embedRegular r:id="rId3" w:fontKey="{FDA8F3E0-37FF-48F3-8294-764A359DB795}"/>
  </w:font>
  <w:font w:name="Courier New">
    <w:panose1 w:val="02070309020205020404"/>
    <w:charset w:val="01"/>
    <w:family w:val="modern"/>
    <w:pitch w:val="default"/>
    <w:sig w:usb0="00007A87" w:usb1="80000000" w:usb2="00000008" w:usb3="00000000" w:csb0="400001FF" w:csb1="FFFF0000"/>
    <w:embedRegular r:id="rId4" w:fontKey="{448EE716-101C-40C7-A48B-206226767BF6}"/>
  </w:font>
  <w:font w:name="Symbol">
    <w:panose1 w:val="05050102010706020507"/>
    <w:charset w:val="02"/>
    <w:family w:val="roman"/>
    <w:pitch w:val="default"/>
    <w:sig w:usb0="00000000" w:usb1="00000000" w:usb2="00000000" w:usb3="00000000" w:csb0="80000000" w:csb1="00000000"/>
    <w:embedRegular r:id="rId5" w:fontKey="{71927AF0-BF43-4A27-AE5D-AA2874AFF0E7}"/>
  </w:font>
  <w:font w:name="Calibri">
    <w:panose1 w:val="020F0502020204030204"/>
    <w:charset w:val="00"/>
    <w:family w:val="swiss"/>
    <w:pitch w:val="default"/>
    <w:sig w:usb0="E10002FF" w:usb1="4000ACFF" w:usb2="00000009" w:usb3="00000000" w:csb0="2000019F" w:csb1="00000000"/>
    <w:embedRegular r:id="rId6" w:fontKey="{70219221-82A8-43E6-A1FD-81F575F24B4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C8349F11-0E9A-4694-9292-E74E4D0C4771}"/>
  </w:font>
  <w:font w:name="方正小标宋_GBK">
    <w:panose1 w:val="03000509000000000000"/>
    <w:charset w:val="86"/>
    <w:family w:val="auto"/>
    <w:pitch w:val="default"/>
    <w:sig w:usb0="00000001" w:usb1="080E0000" w:usb2="00000000" w:usb3="00000000" w:csb0="00040000" w:csb1="00000000"/>
    <w:embedRegular r:id="rId8" w:fontKey="{CBF60A4F-3B4E-44D0-8021-0A4C792A1678}"/>
  </w:font>
  <w:font w:name="仿宋">
    <w:panose1 w:val="02010609060101010101"/>
    <w:charset w:val="86"/>
    <w:family w:val="auto"/>
    <w:pitch w:val="default"/>
    <w:sig w:usb0="800002BF" w:usb1="38CF7CFA" w:usb2="00000016" w:usb3="00000000" w:csb0="00040001" w:csb1="00000000"/>
    <w:embedRegular r:id="rId9" w:fontKey="{6A812A17-73D1-486F-B75D-44D88F8FEF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F94"/>
    <w:rsid w:val="000458B2"/>
    <w:rsid w:val="000529C3"/>
    <w:rsid w:val="000566E5"/>
    <w:rsid w:val="000748E2"/>
    <w:rsid w:val="00094735"/>
    <w:rsid w:val="00097444"/>
    <w:rsid w:val="000B502D"/>
    <w:rsid w:val="000B7378"/>
    <w:rsid w:val="0013313D"/>
    <w:rsid w:val="00193556"/>
    <w:rsid w:val="00196CE1"/>
    <w:rsid w:val="001E2DE4"/>
    <w:rsid w:val="001F101C"/>
    <w:rsid w:val="00221268"/>
    <w:rsid w:val="002270B4"/>
    <w:rsid w:val="00245AB2"/>
    <w:rsid w:val="00274F24"/>
    <w:rsid w:val="002929CA"/>
    <w:rsid w:val="002C0404"/>
    <w:rsid w:val="002D5B7A"/>
    <w:rsid w:val="002E52FF"/>
    <w:rsid w:val="002F2829"/>
    <w:rsid w:val="003060FE"/>
    <w:rsid w:val="0032058D"/>
    <w:rsid w:val="0035082E"/>
    <w:rsid w:val="00386690"/>
    <w:rsid w:val="003C47E8"/>
    <w:rsid w:val="003F41F5"/>
    <w:rsid w:val="00411709"/>
    <w:rsid w:val="00427265"/>
    <w:rsid w:val="00445A37"/>
    <w:rsid w:val="004461BB"/>
    <w:rsid w:val="00451013"/>
    <w:rsid w:val="004C0CB2"/>
    <w:rsid w:val="004C0FE9"/>
    <w:rsid w:val="004C4F1E"/>
    <w:rsid w:val="004E74AC"/>
    <w:rsid w:val="004F1E95"/>
    <w:rsid w:val="00595540"/>
    <w:rsid w:val="005A40B6"/>
    <w:rsid w:val="005B4A0D"/>
    <w:rsid w:val="005B5EF1"/>
    <w:rsid w:val="005C0CFE"/>
    <w:rsid w:val="00622808"/>
    <w:rsid w:val="00637ECD"/>
    <w:rsid w:val="00665205"/>
    <w:rsid w:val="006734AB"/>
    <w:rsid w:val="006930D2"/>
    <w:rsid w:val="006B34D5"/>
    <w:rsid w:val="006D146C"/>
    <w:rsid w:val="006F2C79"/>
    <w:rsid w:val="00720EDC"/>
    <w:rsid w:val="00722434"/>
    <w:rsid w:val="00727DC1"/>
    <w:rsid w:val="00741874"/>
    <w:rsid w:val="00763426"/>
    <w:rsid w:val="00783CC5"/>
    <w:rsid w:val="007920DD"/>
    <w:rsid w:val="00797C93"/>
    <w:rsid w:val="007D3191"/>
    <w:rsid w:val="007E1852"/>
    <w:rsid w:val="007E5415"/>
    <w:rsid w:val="007F02ED"/>
    <w:rsid w:val="008A222F"/>
    <w:rsid w:val="008D516D"/>
    <w:rsid w:val="008F2872"/>
    <w:rsid w:val="00932F21"/>
    <w:rsid w:val="00940E09"/>
    <w:rsid w:val="0096252B"/>
    <w:rsid w:val="009908EC"/>
    <w:rsid w:val="00995ACB"/>
    <w:rsid w:val="009A325D"/>
    <w:rsid w:val="009A3F5B"/>
    <w:rsid w:val="009C481B"/>
    <w:rsid w:val="009D0ECD"/>
    <w:rsid w:val="009E5254"/>
    <w:rsid w:val="009F3F24"/>
    <w:rsid w:val="009F7D7D"/>
    <w:rsid w:val="00A0686F"/>
    <w:rsid w:val="00A14EBE"/>
    <w:rsid w:val="00A27F92"/>
    <w:rsid w:val="00A54429"/>
    <w:rsid w:val="00A56FD7"/>
    <w:rsid w:val="00A61263"/>
    <w:rsid w:val="00A73A60"/>
    <w:rsid w:val="00A852B5"/>
    <w:rsid w:val="00AA6AC7"/>
    <w:rsid w:val="00AF39C7"/>
    <w:rsid w:val="00B056A4"/>
    <w:rsid w:val="00B10767"/>
    <w:rsid w:val="00B31580"/>
    <w:rsid w:val="00B32C0E"/>
    <w:rsid w:val="00B51AE9"/>
    <w:rsid w:val="00B76E26"/>
    <w:rsid w:val="00B970D4"/>
    <w:rsid w:val="00BA5D98"/>
    <w:rsid w:val="00BB4589"/>
    <w:rsid w:val="00BB5417"/>
    <w:rsid w:val="00BD0FAE"/>
    <w:rsid w:val="00BD70AE"/>
    <w:rsid w:val="00BE45BD"/>
    <w:rsid w:val="00C14E99"/>
    <w:rsid w:val="00C20F0D"/>
    <w:rsid w:val="00C2350F"/>
    <w:rsid w:val="00C40BA9"/>
    <w:rsid w:val="00C43831"/>
    <w:rsid w:val="00C523F7"/>
    <w:rsid w:val="00C579A9"/>
    <w:rsid w:val="00C60FBF"/>
    <w:rsid w:val="00C651C2"/>
    <w:rsid w:val="00C92CDD"/>
    <w:rsid w:val="00C94DD4"/>
    <w:rsid w:val="00CA6AEC"/>
    <w:rsid w:val="00CE14F9"/>
    <w:rsid w:val="00D03D86"/>
    <w:rsid w:val="00D3379C"/>
    <w:rsid w:val="00D61303"/>
    <w:rsid w:val="00D630F4"/>
    <w:rsid w:val="00D71E18"/>
    <w:rsid w:val="00D722C5"/>
    <w:rsid w:val="00D77076"/>
    <w:rsid w:val="00D84299"/>
    <w:rsid w:val="00D845F0"/>
    <w:rsid w:val="00DE282A"/>
    <w:rsid w:val="00DF0F49"/>
    <w:rsid w:val="00E13C22"/>
    <w:rsid w:val="00E16136"/>
    <w:rsid w:val="00E410F9"/>
    <w:rsid w:val="00E57F03"/>
    <w:rsid w:val="00E67887"/>
    <w:rsid w:val="00E91A7E"/>
    <w:rsid w:val="00EA4967"/>
    <w:rsid w:val="00EB0FC6"/>
    <w:rsid w:val="00EB1F94"/>
    <w:rsid w:val="00EE15AB"/>
    <w:rsid w:val="00EF3B7E"/>
    <w:rsid w:val="00F25E96"/>
    <w:rsid w:val="00F33A21"/>
    <w:rsid w:val="00F41538"/>
    <w:rsid w:val="00F573FF"/>
    <w:rsid w:val="00F73726"/>
    <w:rsid w:val="00F76BBB"/>
    <w:rsid w:val="00F8517F"/>
    <w:rsid w:val="00FC6ADE"/>
    <w:rsid w:val="00FE71A5"/>
    <w:rsid w:val="02BA45AB"/>
    <w:rsid w:val="04C61603"/>
    <w:rsid w:val="0B2A2F37"/>
    <w:rsid w:val="0BED0533"/>
    <w:rsid w:val="0E0B4676"/>
    <w:rsid w:val="119517B4"/>
    <w:rsid w:val="128F6369"/>
    <w:rsid w:val="15822067"/>
    <w:rsid w:val="1D0A70FC"/>
    <w:rsid w:val="1EBC63F1"/>
    <w:rsid w:val="2086333B"/>
    <w:rsid w:val="21F87ECD"/>
    <w:rsid w:val="227D5C8A"/>
    <w:rsid w:val="241510CA"/>
    <w:rsid w:val="24D03EE3"/>
    <w:rsid w:val="2774225B"/>
    <w:rsid w:val="28AD441A"/>
    <w:rsid w:val="2B6A7B00"/>
    <w:rsid w:val="2C286D42"/>
    <w:rsid w:val="2CE30094"/>
    <w:rsid w:val="2FAD1F70"/>
    <w:rsid w:val="34590F02"/>
    <w:rsid w:val="361468FB"/>
    <w:rsid w:val="39447A0F"/>
    <w:rsid w:val="39CE3E31"/>
    <w:rsid w:val="3EDF77D5"/>
    <w:rsid w:val="3F123733"/>
    <w:rsid w:val="413F5151"/>
    <w:rsid w:val="42AE4CDA"/>
    <w:rsid w:val="436A396D"/>
    <w:rsid w:val="54894EC9"/>
    <w:rsid w:val="553D59A9"/>
    <w:rsid w:val="56D366A5"/>
    <w:rsid w:val="5B377DCC"/>
    <w:rsid w:val="5C2F4E8D"/>
    <w:rsid w:val="5DEF06B1"/>
    <w:rsid w:val="5E70680D"/>
    <w:rsid w:val="5F9702C9"/>
    <w:rsid w:val="61345989"/>
    <w:rsid w:val="6286172C"/>
    <w:rsid w:val="62D97E82"/>
    <w:rsid w:val="62FD754D"/>
    <w:rsid w:val="6B92517C"/>
    <w:rsid w:val="6CDF6AC2"/>
    <w:rsid w:val="6E3E0B16"/>
    <w:rsid w:val="6E5D0ED6"/>
    <w:rsid w:val="6F9A32B3"/>
    <w:rsid w:val="720F20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napToGrid w:val="0"/>
      <w:spacing w:line="700" w:lineRule="exact"/>
    </w:pPr>
    <w:rPr>
      <w:rFonts w:eastAsia="楷体_GB2312"/>
      <w:b/>
      <w:sz w:val="44"/>
      <w:szCs w:val="36"/>
    </w:rPr>
  </w:style>
  <w:style w:type="paragraph" w:styleId="3">
    <w:name w:val="Date"/>
    <w:basedOn w:val="1"/>
    <w:next w:val="1"/>
    <w:qFormat/>
    <w:uiPriority w:val="0"/>
    <w:pPr>
      <w:ind w:left="2500" w:leftChars="2500"/>
    </w:pPr>
    <w:rPr>
      <w:rFonts w:ascii="仿宋_GB2312" w:eastAsia="仿宋_GB2312"/>
      <w:sz w:val="32"/>
    </w:rPr>
  </w:style>
  <w:style w:type="paragraph" w:styleId="4">
    <w:name w:val="Balloon Text"/>
    <w:basedOn w:val="1"/>
    <w:link w:val="1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0">
    <w:name w:val="Strong"/>
    <w:basedOn w:val="9"/>
    <w:qFormat/>
    <w:uiPriority w:val="0"/>
    <w:rPr>
      <w:b/>
    </w:rPr>
  </w:style>
  <w:style w:type="character" w:customStyle="1" w:styleId="11">
    <w:name w:val="批注框文本 Char"/>
    <w:basedOn w:val="9"/>
    <w:link w:val="4"/>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sunday</Company>
  <Pages>1</Pages>
  <Words>52</Words>
  <Characters>298</Characters>
  <Lines>2</Lines>
  <Paragraphs>1</Paragraphs>
  <TotalTime>15</TotalTime>
  <ScaleCrop>false</ScaleCrop>
  <LinksUpToDate>false</LinksUpToDate>
  <CharactersWithSpaces>349</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2017-02-15T08:32:00Z</dcterms:created>
  <dc:creator>jh</dc:creator>
  <cp:lastModifiedBy> 酷婉凝雪 </cp:lastModifiedBy>
  <cp:lastPrinted>2021-04-19T02:20:18Z</cp:lastPrinted>
  <dcterms:modified xsi:type="dcterms:W3CDTF">2021-04-19T02:21:39Z</dcterms:modified>
  <dc:title>莆田二中 [2012] 02号        签发人：郭德翊</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KSOSaveFontToCloudKey">
    <vt:lpwstr>253981520_embed</vt:lpwstr>
  </property>
  <property fmtid="{D5CDD505-2E9C-101B-9397-08002B2CF9AE}" pid="4" name="ICV">
    <vt:lpwstr>F43FC06FFFCD40158D4351CBA883564A</vt:lpwstr>
  </property>
</Properties>
</file>